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360" w:lineRule="atLeast"/>
        <w:ind w:firstLine="562" w:firstLineChars="200"/>
        <w:jc w:val="center"/>
        <w:textAlignment w:val="auto"/>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附件二：评审标准</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81"/>
        <w:gridCol w:w="1213"/>
        <w:gridCol w:w="6240"/>
        <w:gridCol w:w="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55" w:hRule="atLeast"/>
        </w:trPr>
        <w:tc>
          <w:tcPr>
            <w:tcW w:w="581"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1213"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评分因素</w:t>
            </w:r>
          </w:p>
        </w:tc>
        <w:tc>
          <w:tcPr>
            <w:tcW w:w="6240"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评分标准</w:t>
            </w:r>
          </w:p>
        </w:tc>
        <w:tc>
          <w:tcPr>
            <w:tcW w:w="488"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8522" w:type="dxa"/>
            <w:gridSpan w:val="4"/>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both"/>
              <w:textAlignment w:val="auto"/>
              <w:rPr>
                <w:rFonts w:hint="eastAsia" w:ascii="宋体" w:hAnsi="宋体" w:eastAsia="宋体" w:cs="宋体"/>
                <w:sz w:val="24"/>
                <w:szCs w:val="24"/>
                <w:highlight w:val="none"/>
              </w:rPr>
            </w:pPr>
            <w:r>
              <w:rPr>
                <w:rFonts w:hint="eastAsia" w:ascii="宋体" w:hAnsi="宋体" w:eastAsia="宋体" w:cs="宋体"/>
                <w:b/>
                <w:kern w:val="0"/>
                <w:sz w:val="24"/>
                <w:szCs w:val="24"/>
                <w:highlight w:val="none"/>
              </w:rPr>
              <w:t>一、报价（</w:t>
            </w:r>
            <w:r>
              <w:rPr>
                <w:rFonts w:hint="eastAsia" w:ascii="宋体" w:hAnsi="宋体" w:eastAsia="宋体" w:cs="宋体"/>
                <w:b/>
                <w:kern w:val="0"/>
                <w:sz w:val="24"/>
                <w:szCs w:val="24"/>
                <w:highlight w:val="none"/>
                <w:lang w:val="en-US" w:eastAsia="zh-CN"/>
              </w:rPr>
              <w:t>10</w:t>
            </w:r>
            <w:r>
              <w:rPr>
                <w:rFonts w:hint="eastAsia" w:ascii="宋体" w:hAnsi="宋体" w:eastAsia="宋体" w:cs="宋体"/>
                <w:b/>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581"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p>
        </w:tc>
        <w:tc>
          <w:tcPr>
            <w:tcW w:w="1213"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价格</w:t>
            </w:r>
          </w:p>
        </w:tc>
        <w:tc>
          <w:tcPr>
            <w:tcW w:w="6240" w:type="dxa"/>
            <w:noWrap w:val="0"/>
            <w:tcMar>
              <w:top w:w="0" w:type="dxa"/>
              <w:left w:w="108" w:type="dxa"/>
              <w:bottom w:w="0" w:type="dxa"/>
              <w:right w:w="108" w:type="dxa"/>
            </w:tcMar>
            <w:vAlign w:val="center"/>
          </w:tcPr>
          <w:p>
            <w:pPr>
              <w:rPr>
                <w:color w:val="auto"/>
                <w:sz w:val="24"/>
              </w:rPr>
            </w:pPr>
            <w:r>
              <w:rPr>
                <w:color w:val="auto"/>
                <w:sz w:val="24"/>
              </w:rPr>
              <w:t>满足磋商文件要求且</w:t>
            </w:r>
            <w:r>
              <w:rPr>
                <w:rFonts w:hint="eastAsia"/>
                <w:color w:val="auto"/>
                <w:sz w:val="24"/>
              </w:rPr>
              <w:t>最终报价</w:t>
            </w:r>
            <w:r>
              <w:rPr>
                <w:color w:val="auto"/>
                <w:sz w:val="24"/>
              </w:rPr>
              <w:t>最低的报价为评标基准价，其价格分为满分。其他供应商的价格分统一按照下列公式计算：</w:t>
            </w:r>
            <w:r>
              <w:rPr>
                <w:rFonts w:hint="eastAsia"/>
                <w:color w:val="auto"/>
                <w:sz w:val="24"/>
              </w:rPr>
              <w:t>价格分</w:t>
            </w:r>
            <w:r>
              <w:rPr>
                <w:color w:val="auto"/>
                <w:sz w:val="24"/>
              </w:rPr>
              <w:t>得分＝（评标基准价/</w:t>
            </w:r>
            <w:r>
              <w:rPr>
                <w:rFonts w:hint="eastAsia"/>
                <w:color w:val="auto"/>
                <w:sz w:val="24"/>
              </w:rPr>
              <w:t>最终报价</w:t>
            </w:r>
            <w:r>
              <w:rPr>
                <w:color w:val="auto"/>
                <w:sz w:val="24"/>
              </w:rPr>
              <w:t>）×分值。</w:t>
            </w:r>
          </w:p>
          <w:p>
            <w:pPr>
              <w:rPr>
                <w:rFonts w:hint="eastAsia" w:ascii="宋体" w:hAnsi="宋体" w:eastAsia="宋体" w:cs="宋体"/>
                <w:color w:val="auto"/>
                <w:sz w:val="24"/>
                <w:szCs w:val="24"/>
                <w:highlight w:val="none"/>
              </w:rPr>
            </w:pPr>
            <w:r>
              <w:rPr>
                <w:rFonts w:hint="eastAsia"/>
                <w:b/>
                <w:bCs/>
                <w:color w:val="auto"/>
                <w:sz w:val="24"/>
                <w:highlight w:val="none"/>
                <w:lang w:val="en-US" w:eastAsia="zh-CN"/>
              </w:rPr>
              <w:t>注：</w:t>
            </w:r>
            <w:r>
              <w:rPr>
                <w:rFonts w:hint="eastAsia"/>
                <w:b/>
                <w:bCs/>
                <w:color w:val="auto"/>
                <w:sz w:val="24"/>
                <w:highlight w:val="none"/>
              </w:rPr>
              <w:t>此处最终报价指经过报价修正后</w:t>
            </w:r>
            <w:r>
              <w:rPr>
                <w:b/>
                <w:bCs/>
                <w:color w:val="auto"/>
                <w:sz w:val="24"/>
                <w:highlight w:val="none"/>
              </w:rPr>
              <w:t>的</w:t>
            </w:r>
            <w:r>
              <w:rPr>
                <w:rFonts w:hint="eastAsia"/>
                <w:b/>
                <w:bCs/>
                <w:color w:val="auto"/>
                <w:sz w:val="24"/>
                <w:highlight w:val="none"/>
              </w:rPr>
              <w:t>最终报价</w:t>
            </w:r>
            <w:r>
              <w:rPr>
                <w:b/>
                <w:bCs/>
                <w:color w:val="auto"/>
                <w:sz w:val="24"/>
                <w:highlight w:val="none"/>
              </w:rPr>
              <w:t>。</w:t>
            </w:r>
          </w:p>
        </w:tc>
        <w:tc>
          <w:tcPr>
            <w:tcW w:w="488"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8522" w:type="dxa"/>
            <w:gridSpan w:val="4"/>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both"/>
              <w:textAlignment w:val="auto"/>
              <w:rPr>
                <w:rFonts w:hint="eastAsia" w:ascii="宋体" w:hAnsi="宋体" w:eastAsia="宋体" w:cs="宋体"/>
                <w:b/>
                <w:color w:val="auto"/>
                <w:kern w:val="0"/>
                <w:sz w:val="24"/>
                <w:szCs w:val="24"/>
                <w:highlight w:val="none"/>
                <w:lang w:eastAsia="zh-CN"/>
              </w:rPr>
            </w:pPr>
            <w:r>
              <w:rPr>
                <w:rFonts w:hint="eastAsia" w:ascii="宋体" w:hAnsi="宋体" w:eastAsia="宋体" w:cs="宋体"/>
                <w:b/>
                <w:color w:val="auto"/>
                <w:kern w:val="0"/>
                <w:sz w:val="24"/>
                <w:szCs w:val="24"/>
                <w:highlight w:val="none"/>
              </w:rPr>
              <w:t>二</w:t>
            </w:r>
            <w:r>
              <w:rPr>
                <w:rFonts w:hint="eastAsia" w:ascii="宋体" w:hAnsi="宋体" w:eastAsia="宋体" w:cs="宋体"/>
                <w:b/>
                <w:color w:val="auto"/>
                <w:kern w:val="0"/>
                <w:sz w:val="24"/>
                <w:szCs w:val="24"/>
                <w:highlight w:val="none"/>
                <w:lang w:eastAsia="zh-CN"/>
              </w:rPr>
              <w:t>、综合实力（</w:t>
            </w:r>
            <w:r>
              <w:rPr>
                <w:rFonts w:hint="eastAsia" w:ascii="宋体" w:hAnsi="宋体" w:eastAsia="宋体" w:cs="宋体"/>
                <w:b/>
                <w:color w:val="auto"/>
                <w:kern w:val="0"/>
                <w:sz w:val="24"/>
                <w:szCs w:val="24"/>
                <w:highlight w:val="none"/>
                <w:lang w:val="en-US" w:eastAsia="zh-CN"/>
              </w:rPr>
              <w:t>30分</w:t>
            </w:r>
            <w:r>
              <w:rPr>
                <w:rFonts w:hint="eastAsia" w:ascii="宋体" w:hAnsi="宋体" w:eastAsia="宋体" w:cs="宋体"/>
                <w:b/>
                <w:color w:val="auto"/>
                <w:kern w:val="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581"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1</w:t>
            </w:r>
          </w:p>
        </w:tc>
        <w:tc>
          <w:tcPr>
            <w:tcW w:w="1213"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bCs/>
                <w:color w:val="000000"/>
                <w:kern w:val="2"/>
                <w:sz w:val="24"/>
                <w:szCs w:val="24"/>
                <w:highlight w:val="none"/>
                <w:lang w:val="en-US" w:eastAsia="zh-CN" w:bidi="ar-SA"/>
              </w:rPr>
              <w:t>项目组人员</w:t>
            </w:r>
          </w:p>
        </w:tc>
        <w:tc>
          <w:tcPr>
            <w:tcW w:w="6240" w:type="dxa"/>
            <w:noWrap w:val="0"/>
            <w:tcMar>
              <w:top w:w="0" w:type="dxa"/>
              <w:left w:w="108" w:type="dxa"/>
              <w:bottom w:w="0" w:type="dxa"/>
              <w:right w:w="108" w:type="dxa"/>
            </w:tcMar>
            <w:vAlign w:val="center"/>
          </w:tcPr>
          <w:p>
            <w:pPr>
              <w:keepNext w:val="0"/>
              <w:keepLines w:val="0"/>
              <w:pageBreakBefore w:val="0"/>
              <w:widowControl w:val="0"/>
              <w:numPr>
                <w:ilvl w:val="0"/>
                <w:numId w:val="0"/>
              </w:numPr>
              <w:tabs>
                <w:tab w:val="left" w:pos="426"/>
              </w:tabs>
              <w:kinsoku/>
              <w:wordWrap/>
              <w:overflowPunct/>
              <w:topLinePunct w:val="0"/>
              <w:autoSpaceDE w:val="0"/>
              <w:autoSpaceDN w:val="0"/>
              <w:bidi w:val="0"/>
              <w:adjustRightInd w:val="0"/>
              <w:spacing w:line="240" w:lineRule="auto"/>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1.供应商拟投入本项目的项目组人员中具有有效的电工证、特种作业操作证（维修或高配）、电工进网作业许可证的，有一个得2分，最高得10分。</w:t>
            </w:r>
          </w:p>
          <w:p>
            <w:pPr>
              <w:keepNext w:val="0"/>
              <w:keepLines w:val="0"/>
              <w:pageBreakBefore w:val="0"/>
              <w:widowControl w:val="0"/>
              <w:numPr>
                <w:ilvl w:val="0"/>
                <w:numId w:val="0"/>
              </w:numPr>
              <w:tabs>
                <w:tab w:val="left" w:pos="426"/>
              </w:tabs>
              <w:kinsoku/>
              <w:wordWrap/>
              <w:overflowPunct/>
              <w:topLinePunct w:val="0"/>
              <w:autoSpaceDE w:val="0"/>
              <w:autoSpaceDN w:val="0"/>
              <w:bidi w:val="0"/>
              <w:adjustRightInd w:val="0"/>
              <w:spacing w:line="240" w:lineRule="auto"/>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2.供应商拟投入本项目的项目组人员中具有水利工程专业中级及以上职称的，有一人得5分，最高得10分。</w:t>
            </w:r>
          </w:p>
          <w:p>
            <w:pPr>
              <w:keepNext w:val="0"/>
              <w:keepLines w:val="0"/>
              <w:pageBreakBefore w:val="0"/>
              <w:widowControl w:val="0"/>
              <w:numPr>
                <w:ilvl w:val="0"/>
                <w:numId w:val="0"/>
              </w:numPr>
              <w:tabs>
                <w:tab w:val="left" w:pos="426"/>
              </w:tabs>
              <w:kinsoku/>
              <w:wordWrap/>
              <w:overflowPunct/>
              <w:topLinePunct w:val="0"/>
              <w:autoSpaceDE w:val="0"/>
              <w:autoSpaceDN w:val="0"/>
              <w:bidi w:val="0"/>
              <w:adjustRightInd w:val="0"/>
              <w:spacing w:line="240" w:lineRule="auto"/>
              <w:ind w:left="0" w:leftChars="0" w:firstLine="0" w:firstLineChars="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
                <w:bCs/>
                <w:color w:val="auto"/>
                <w:kern w:val="0"/>
                <w:sz w:val="24"/>
                <w:szCs w:val="24"/>
                <w:highlight w:val="none"/>
              </w:rPr>
              <w:t>注：磋商响应文件中提供有效的证书复印件及磋商截止日前半年内任意两个月供应商为上述人员缴纳的社保证明材料复印件或与上述人员签订的劳务合同复印件并加盖供应商公章，否则不得分。</w:t>
            </w:r>
          </w:p>
        </w:tc>
        <w:tc>
          <w:tcPr>
            <w:tcW w:w="488"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581"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c>
          <w:tcPr>
            <w:tcW w:w="1213"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default" w:ascii="宋体" w:hAnsi="宋体" w:eastAsia="宋体" w:cs="宋体"/>
                <w:bCs/>
                <w:color w:val="000000"/>
                <w:kern w:val="2"/>
                <w:sz w:val="24"/>
                <w:szCs w:val="24"/>
                <w:highlight w:val="none"/>
                <w:lang w:val="en-US" w:eastAsia="zh-CN" w:bidi="ar-SA"/>
              </w:rPr>
            </w:pPr>
            <w:r>
              <w:rPr>
                <w:rFonts w:hint="eastAsia" w:ascii="宋体" w:hAnsi="宋体" w:eastAsia="宋体" w:cs="宋体"/>
                <w:bCs/>
                <w:color w:val="000000"/>
                <w:kern w:val="2"/>
                <w:sz w:val="24"/>
                <w:szCs w:val="24"/>
                <w:highlight w:val="none"/>
                <w:lang w:val="en-US" w:eastAsia="zh-CN" w:bidi="ar-SA"/>
              </w:rPr>
              <w:t>业绩</w:t>
            </w:r>
          </w:p>
        </w:tc>
        <w:tc>
          <w:tcPr>
            <w:tcW w:w="6240" w:type="dxa"/>
            <w:noWrap w:val="0"/>
            <w:tcMar>
              <w:top w:w="0" w:type="dxa"/>
              <w:left w:w="108" w:type="dxa"/>
              <w:bottom w:w="0" w:type="dxa"/>
              <w:right w:w="108" w:type="dxa"/>
            </w:tcMar>
            <w:vAlign w:val="center"/>
          </w:tcPr>
          <w:p>
            <w:pPr>
              <w:keepNext w:val="0"/>
              <w:keepLines w:val="0"/>
              <w:pageBreakBefore w:val="0"/>
              <w:widowControl w:val="0"/>
              <w:numPr>
                <w:ilvl w:val="0"/>
                <w:numId w:val="0"/>
              </w:numPr>
              <w:tabs>
                <w:tab w:val="left" w:pos="426"/>
              </w:tabs>
              <w:kinsoku/>
              <w:wordWrap/>
              <w:overflowPunct/>
              <w:topLinePunct w:val="0"/>
              <w:autoSpaceDE w:val="0"/>
              <w:autoSpaceDN w:val="0"/>
              <w:bidi w:val="0"/>
              <w:adjustRightInd w:val="0"/>
              <w:spacing w:line="24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供应商自201</w:t>
            </w:r>
            <w:r>
              <w:rPr>
                <w:rFonts w:hint="eastAsia" w:ascii="宋体" w:hAnsi="宋体" w:cs="宋体"/>
                <w:color w:val="auto"/>
                <w:kern w:val="0"/>
                <w:sz w:val="24"/>
                <w:szCs w:val="24"/>
                <w:highlight w:val="none"/>
                <w:lang w:val="en-US" w:eastAsia="zh-CN"/>
              </w:rPr>
              <w:t>9</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lang w:val="en-US" w:eastAsia="zh-CN"/>
              </w:rPr>
              <w:t>月1日以来（以合同签订日期为准）具有泵站管护或水泵机电维修等相关业绩的，每提供一份合同得</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lang w:val="en-US" w:eastAsia="zh-CN"/>
              </w:rPr>
              <w:t>分，最高得10分。</w:t>
            </w:r>
          </w:p>
          <w:p>
            <w:pPr>
              <w:keepNext w:val="0"/>
              <w:keepLines w:val="0"/>
              <w:pageBreakBefore w:val="0"/>
              <w:widowControl w:val="0"/>
              <w:numPr>
                <w:ilvl w:val="0"/>
                <w:numId w:val="0"/>
              </w:numPr>
              <w:tabs>
                <w:tab w:val="left" w:pos="426"/>
              </w:tabs>
              <w:kinsoku/>
              <w:wordWrap/>
              <w:overflowPunct/>
              <w:topLinePunct w:val="0"/>
              <w:autoSpaceDE w:val="0"/>
              <w:autoSpaceDN w:val="0"/>
              <w:bidi w:val="0"/>
              <w:adjustRightInd w:val="0"/>
              <w:spacing w:line="240" w:lineRule="auto"/>
              <w:ind w:left="0" w:leftChars="0" w:firstLine="0" w:firstLineChars="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lang w:val="en-US" w:eastAsia="zh-CN"/>
              </w:rPr>
              <w:t>注：磋商响应文件中提供合同复印件并加盖供应商公章，否则不得分。</w:t>
            </w:r>
          </w:p>
        </w:tc>
        <w:tc>
          <w:tcPr>
            <w:tcW w:w="488"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8522" w:type="dxa"/>
            <w:gridSpan w:val="4"/>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both"/>
              <w:textAlignment w:val="auto"/>
              <w:rPr>
                <w:rFonts w:hint="eastAsia" w:ascii="宋体" w:hAnsi="宋体" w:eastAsia="宋体" w:cs="宋体"/>
                <w:b/>
                <w:kern w:val="0"/>
                <w:sz w:val="24"/>
                <w:szCs w:val="24"/>
                <w:highlight w:val="none"/>
                <w:lang w:eastAsia="zh-CN"/>
              </w:rPr>
            </w:pPr>
            <w:r>
              <w:rPr>
                <w:rFonts w:hint="eastAsia" w:ascii="宋体" w:hAnsi="宋体" w:eastAsia="宋体" w:cs="宋体"/>
                <w:b/>
                <w:kern w:val="0"/>
                <w:sz w:val="24"/>
                <w:szCs w:val="24"/>
                <w:highlight w:val="none"/>
                <w:lang w:eastAsia="zh-CN"/>
              </w:rPr>
              <w:t>三、</w:t>
            </w:r>
            <w:r>
              <w:rPr>
                <w:rFonts w:hint="eastAsia" w:ascii="宋体" w:hAnsi="宋体" w:eastAsia="宋体" w:cs="宋体"/>
                <w:b/>
                <w:kern w:val="0"/>
                <w:sz w:val="24"/>
                <w:szCs w:val="24"/>
                <w:highlight w:val="none"/>
                <w:lang w:val="en-US" w:eastAsia="zh-CN"/>
              </w:rPr>
              <w:t>服务</w:t>
            </w:r>
            <w:r>
              <w:rPr>
                <w:rFonts w:hint="eastAsia" w:ascii="宋体" w:hAnsi="宋体" w:eastAsia="宋体" w:cs="宋体"/>
                <w:b/>
                <w:kern w:val="0"/>
                <w:sz w:val="24"/>
                <w:szCs w:val="24"/>
                <w:highlight w:val="none"/>
              </w:rPr>
              <w:t>方案</w:t>
            </w:r>
            <w:r>
              <w:rPr>
                <w:rFonts w:hint="eastAsia" w:ascii="宋体" w:hAnsi="宋体" w:eastAsia="宋体" w:cs="宋体"/>
                <w:b/>
                <w:kern w:val="0"/>
                <w:sz w:val="24"/>
                <w:szCs w:val="24"/>
                <w:highlight w:val="none"/>
                <w:lang w:eastAsia="zh-CN"/>
              </w:rPr>
              <w:t>（</w:t>
            </w:r>
            <w:r>
              <w:rPr>
                <w:rFonts w:hint="eastAsia" w:ascii="宋体" w:hAnsi="宋体" w:eastAsia="宋体" w:cs="宋体"/>
                <w:b/>
                <w:kern w:val="0"/>
                <w:sz w:val="24"/>
                <w:szCs w:val="24"/>
                <w:highlight w:val="none"/>
                <w:lang w:val="en-US" w:eastAsia="zh-CN"/>
              </w:rPr>
              <w:t>60分</w:t>
            </w:r>
            <w:r>
              <w:rPr>
                <w:rFonts w:hint="eastAsia" w:ascii="宋体" w:hAnsi="宋体" w:eastAsia="宋体" w:cs="宋体"/>
                <w:b/>
                <w:kern w:val="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581"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c>
          <w:tcPr>
            <w:tcW w:w="1213"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bCs/>
                <w:kern w:val="0"/>
                <w:sz w:val="24"/>
                <w:szCs w:val="24"/>
                <w:highlight w:val="none"/>
                <w:lang w:val="en-US" w:eastAsia="zh-CN" w:bidi="ar-SA"/>
              </w:rPr>
            </w:pPr>
            <w:r>
              <w:rPr>
                <w:rFonts w:hint="eastAsia" w:ascii="宋体" w:hAnsi="宋体" w:eastAsia="宋体" w:cs="宋体"/>
                <w:color w:val="auto"/>
                <w:kern w:val="0"/>
                <w:sz w:val="24"/>
                <w:szCs w:val="24"/>
                <w:highlight w:val="none"/>
              </w:rPr>
              <w:t>项目实施方案</w:t>
            </w:r>
          </w:p>
        </w:tc>
        <w:tc>
          <w:tcPr>
            <w:tcW w:w="6240"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bidi w:val="0"/>
              <w:adjustRightInd w:val="0"/>
              <w:snapToGrid w:val="0"/>
              <w:spacing w:line="240" w:lineRule="auto"/>
              <w:textAlignment w:val="auto"/>
              <w:rPr>
                <w:rFonts w:hint="eastAsia" w:ascii="宋体" w:hAnsi="宋体" w:eastAsia="宋体" w:cs="宋体"/>
                <w:bCs/>
                <w:color w:val="000000"/>
                <w:kern w:val="0"/>
                <w:sz w:val="24"/>
                <w:szCs w:val="24"/>
                <w:highlight w:val="none"/>
                <w:lang w:val="en-US" w:eastAsia="zh-CN" w:bidi="ar-SA"/>
              </w:rPr>
            </w:pPr>
            <w:r>
              <w:rPr>
                <w:rFonts w:hint="eastAsia" w:ascii="宋体" w:hAnsi="宋体" w:eastAsia="宋体" w:cs="宋体"/>
                <w:color w:val="auto"/>
                <w:kern w:val="0"/>
                <w:sz w:val="24"/>
                <w:szCs w:val="24"/>
                <w:highlight w:val="none"/>
              </w:rPr>
              <w:t>根据本项目概况及对招标项目的理解，结合实际情况，形成较为准确的对项目编制内容及重点的基本判断，提出项目实施方案。根据</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对本项目拟定的项目实施方案的针对性、合理性、全面性、可操作性等方面，</w:t>
            </w:r>
            <w:r>
              <w:rPr>
                <w:rFonts w:hint="eastAsia" w:ascii="宋体" w:hAnsi="宋体" w:eastAsia="宋体" w:cs="宋体"/>
                <w:color w:val="auto"/>
                <w:sz w:val="24"/>
                <w:szCs w:val="24"/>
                <w:highlight w:val="none"/>
              </w:rPr>
              <w:t>由</w:t>
            </w:r>
            <w:r>
              <w:rPr>
                <w:rFonts w:hint="eastAsia" w:ascii="宋体" w:hAnsi="宋体" w:eastAsia="宋体" w:cs="宋体"/>
                <w:color w:val="auto"/>
                <w:sz w:val="24"/>
                <w:szCs w:val="24"/>
                <w:highlight w:val="none"/>
                <w:lang w:eastAsia="zh-CN"/>
              </w:rPr>
              <w:t>磋商小组</w:t>
            </w:r>
            <w:r>
              <w:rPr>
                <w:rFonts w:hint="eastAsia" w:ascii="宋体" w:hAnsi="宋体" w:eastAsia="宋体" w:cs="宋体"/>
                <w:color w:val="auto"/>
                <w:sz w:val="24"/>
                <w:szCs w:val="24"/>
                <w:highlight w:val="none"/>
              </w:rPr>
              <w:t>进行综合评审，</w:t>
            </w:r>
            <w:r>
              <w:rPr>
                <w:rFonts w:hint="eastAsia" w:ascii="宋体" w:hAnsi="宋体" w:eastAsia="宋体" w:cs="宋体"/>
                <w:color w:val="auto"/>
                <w:kern w:val="0"/>
                <w:sz w:val="24"/>
                <w:szCs w:val="24"/>
                <w:highlight w:val="none"/>
              </w:rPr>
              <w:t>最高得</w:t>
            </w:r>
            <w:r>
              <w:rPr>
                <w:rFonts w:hint="eastAsia" w:ascii="宋体" w:hAnsi="宋体" w:cs="宋体"/>
                <w:color w:val="auto"/>
                <w:kern w:val="0"/>
                <w:sz w:val="24"/>
                <w:szCs w:val="24"/>
                <w:highlight w:val="none"/>
                <w:lang w:val="en-US" w:eastAsia="zh-CN"/>
              </w:rPr>
              <w:t>9</w:t>
            </w:r>
            <w:r>
              <w:rPr>
                <w:rFonts w:hint="eastAsia" w:ascii="宋体" w:hAnsi="宋体" w:eastAsia="宋体" w:cs="宋体"/>
                <w:color w:val="auto"/>
                <w:kern w:val="0"/>
                <w:sz w:val="24"/>
                <w:szCs w:val="24"/>
                <w:highlight w:val="none"/>
              </w:rPr>
              <w:t>分。</w:t>
            </w:r>
          </w:p>
        </w:tc>
        <w:tc>
          <w:tcPr>
            <w:tcW w:w="488"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Cs/>
                <w:color w:val="auto"/>
                <w:sz w:val="24"/>
                <w:szCs w:val="24"/>
                <w:highlight w:val="no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581"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c>
          <w:tcPr>
            <w:tcW w:w="1213"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bCs/>
                <w:kern w:val="0"/>
                <w:sz w:val="24"/>
                <w:szCs w:val="24"/>
                <w:highlight w:val="none"/>
                <w:lang w:val="zh-Hans" w:eastAsia="zh-CN" w:bidi="ar-SA"/>
              </w:rPr>
            </w:pPr>
            <w:r>
              <w:rPr>
                <w:rFonts w:hint="eastAsia" w:ascii="宋体" w:hAnsi="宋体" w:eastAsia="宋体" w:cs="宋体"/>
                <w:bCs/>
                <w:color w:val="auto"/>
                <w:kern w:val="0"/>
                <w:sz w:val="24"/>
                <w:szCs w:val="24"/>
                <w:highlight w:val="none"/>
              </w:rPr>
              <w:t>质量保证措施</w:t>
            </w:r>
          </w:p>
        </w:tc>
        <w:tc>
          <w:tcPr>
            <w:tcW w:w="6240"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bidi w:val="0"/>
              <w:spacing w:line="240" w:lineRule="auto"/>
              <w:textAlignment w:val="auto"/>
              <w:rPr>
                <w:rFonts w:hint="eastAsia" w:ascii="宋体" w:hAnsi="宋体" w:eastAsia="宋体" w:cs="宋体"/>
                <w:kern w:val="0"/>
                <w:sz w:val="24"/>
                <w:szCs w:val="24"/>
                <w:highlight w:val="none"/>
                <w:lang w:val="en-US" w:eastAsia="zh-CN" w:bidi="ar-SA"/>
              </w:rPr>
            </w:pPr>
            <w:r>
              <w:rPr>
                <w:rFonts w:hint="eastAsia" w:ascii="宋体" w:hAnsi="宋体" w:eastAsia="宋体" w:cs="宋体"/>
                <w:color w:val="auto"/>
                <w:kern w:val="0"/>
                <w:sz w:val="24"/>
                <w:szCs w:val="24"/>
                <w:highlight w:val="none"/>
              </w:rPr>
              <w:t>根据</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提出的各阶段工作质量</w:t>
            </w:r>
            <w:r>
              <w:rPr>
                <w:rFonts w:hint="eastAsia" w:ascii="宋体" w:hAnsi="宋体" w:eastAsia="宋体" w:cs="宋体"/>
                <w:bCs/>
                <w:color w:val="auto"/>
                <w:kern w:val="0"/>
                <w:sz w:val="24"/>
                <w:szCs w:val="24"/>
                <w:highlight w:val="none"/>
              </w:rPr>
              <w:t>保证</w:t>
            </w:r>
            <w:r>
              <w:rPr>
                <w:rFonts w:hint="eastAsia" w:ascii="宋体" w:hAnsi="宋体" w:eastAsia="宋体" w:cs="宋体"/>
                <w:color w:val="auto"/>
                <w:kern w:val="0"/>
                <w:sz w:val="24"/>
                <w:szCs w:val="24"/>
                <w:highlight w:val="none"/>
              </w:rPr>
              <w:t>措施的针对性、合理性、全面性、可行性及满足</w:t>
            </w:r>
            <w:r>
              <w:rPr>
                <w:rFonts w:hint="eastAsia" w:ascii="宋体" w:hAnsi="宋体" w:eastAsia="宋体" w:cs="宋体"/>
                <w:color w:val="auto"/>
                <w:kern w:val="0"/>
                <w:sz w:val="24"/>
                <w:szCs w:val="24"/>
                <w:highlight w:val="none"/>
                <w:lang w:eastAsia="zh-CN"/>
              </w:rPr>
              <w:t>竞争性磋商文件</w:t>
            </w:r>
            <w:r>
              <w:rPr>
                <w:rFonts w:hint="eastAsia" w:ascii="宋体" w:hAnsi="宋体" w:eastAsia="宋体" w:cs="宋体"/>
                <w:color w:val="auto"/>
                <w:kern w:val="0"/>
                <w:sz w:val="24"/>
                <w:szCs w:val="24"/>
                <w:highlight w:val="none"/>
              </w:rPr>
              <w:t>要求的程度等方面，</w:t>
            </w:r>
            <w:r>
              <w:rPr>
                <w:rFonts w:hint="eastAsia" w:ascii="宋体" w:hAnsi="宋体" w:eastAsia="宋体" w:cs="宋体"/>
                <w:color w:val="auto"/>
                <w:sz w:val="24"/>
                <w:szCs w:val="24"/>
                <w:highlight w:val="none"/>
              </w:rPr>
              <w:t>由</w:t>
            </w:r>
            <w:r>
              <w:rPr>
                <w:rFonts w:hint="eastAsia" w:ascii="宋体" w:hAnsi="宋体" w:eastAsia="宋体" w:cs="宋体"/>
                <w:color w:val="auto"/>
                <w:sz w:val="24"/>
                <w:szCs w:val="24"/>
                <w:highlight w:val="none"/>
                <w:lang w:eastAsia="zh-CN"/>
              </w:rPr>
              <w:t>磋商小组</w:t>
            </w:r>
            <w:r>
              <w:rPr>
                <w:rFonts w:hint="eastAsia" w:ascii="宋体" w:hAnsi="宋体" w:eastAsia="宋体" w:cs="宋体"/>
                <w:color w:val="auto"/>
                <w:sz w:val="24"/>
                <w:szCs w:val="24"/>
                <w:highlight w:val="none"/>
              </w:rPr>
              <w:t>进行综合评审，最高得</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分。</w:t>
            </w:r>
          </w:p>
        </w:tc>
        <w:tc>
          <w:tcPr>
            <w:tcW w:w="488"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Cs/>
                <w:color w:val="auto"/>
                <w:sz w:val="24"/>
                <w:szCs w:val="24"/>
                <w:highlight w:val="no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581"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p>
        </w:tc>
        <w:tc>
          <w:tcPr>
            <w:tcW w:w="1213"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bCs/>
                <w:kern w:val="0"/>
                <w:sz w:val="24"/>
                <w:szCs w:val="24"/>
                <w:highlight w:val="none"/>
                <w:lang w:val="en-US" w:eastAsia="zh-CN" w:bidi="ar-SA"/>
              </w:rPr>
            </w:pPr>
            <w:r>
              <w:rPr>
                <w:rFonts w:hint="eastAsia" w:ascii="宋体" w:hAnsi="宋体" w:eastAsia="宋体" w:cs="宋体"/>
                <w:bCs/>
                <w:color w:val="auto"/>
                <w:kern w:val="0"/>
                <w:sz w:val="24"/>
                <w:szCs w:val="24"/>
                <w:highlight w:val="none"/>
              </w:rPr>
              <w:t>进度保证措施</w:t>
            </w:r>
          </w:p>
        </w:tc>
        <w:tc>
          <w:tcPr>
            <w:tcW w:w="6240"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bidi w:val="0"/>
              <w:spacing w:line="240" w:lineRule="auto"/>
              <w:textAlignment w:val="auto"/>
              <w:rPr>
                <w:rFonts w:hint="eastAsia" w:ascii="宋体" w:hAnsi="宋体" w:eastAsia="宋体" w:cs="宋体"/>
                <w:bCs/>
                <w:color w:val="000000"/>
                <w:kern w:val="0"/>
                <w:sz w:val="24"/>
                <w:szCs w:val="24"/>
                <w:highlight w:val="none"/>
                <w:lang w:val="en-US" w:eastAsia="zh-CN" w:bidi="ar-SA"/>
              </w:rPr>
            </w:pPr>
            <w:r>
              <w:rPr>
                <w:rFonts w:hint="eastAsia" w:ascii="宋体" w:hAnsi="宋体" w:eastAsia="宋体" w:cs="宋体"/>
                <w:color w:val="auto"/>
                <w:kern w:val="0"/>
                <w:sz w:val="24"/>
                <w:szCs w:val="24"/>
                <w:highlight w:val="none"/>
              </w:rPr>
              <w:t>根据</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提出的各阶段工作进度</w:t>
            </w:r>
            <w:r>
              <w:rPr>
                <w:rFonts w:hint="eastAsia" w:ascii="宋体" w:hAnsi="宋体" w:eastAsia="宋体" w:cs="宋体"/>
                <w:bCs/>
                <w:color w:val="auto"/>
                <w:kern w:val="0"/>
                <w:sz w:val="24"/>
                <w:szCs w:val="24"/>
                <w:highlight w:val="none"/>
              </w:rPr>
              <w:t>保证</w:t>
            </w:r>
            <w:r>
              <w:rPr>
                <w:rFonts w:hint="eastAsia" w:ascii="宋体" w:hAnsi="宋体" w:eastAsia="宋体" w:cs="宋体"/>
                <w:color w:val="auto"/>
                <w:kern w:val="0"/>
                <w:sz w:val="24"/>
                <w:szCs w:val="24"/>
                <w:highlight w:val="none"/>
              </w:rPr>
              <w:t>措施的针对性、合理性、全面性、可行性及满足</w:t>
            </w:r>
            <w:r>
              <w:rPr>
                <w:rFonts w:hint="eastAsia" w:ascii="宋体" w:hAnsi="宋体" w:eastAsia="宋体" w:cs="宋体"/>
                <w:color w:val="auto"/>
                <w:kern w:val="0"/>
                <w:sz w:val="24"/>
                <w:szCs w:val="24"/>
                <w:highlight w:val="none"/>
                <w:lang w:eastAsia="zh-CN"/>
              </w:rPr>
              <w:t>竞争性磋商文件</w:t>
            </w:r>
            <w:r>
              <w:rPr>
                <w:rFonts w:hint="eastAsia" w:ascii="宋体" w:hAnsi="宋体" w:eastAsia="宋体" w:cs="宋体"/>
                <w:color w:val="auto"/>
                <w:kern w:val="0"/>
                <w:sz w:val="24"/>
                <w:szCs w:val="24"/>
                <w:highlight w:val="none"/>
              </w:rPr>
              <w:t>要求的程度等方面，</w:t>
            </w:r>
            <w:r>
              <w:rPr>
                <w:rFonts w:hint="eastAsia" w:ascii="宋体" w:hAnsi="宋体" w:eastAsia="宋体" w:cs="宋体"/>
                <w:color w:val="auto"/>
                <w:sz w:val="24"/>
                <w:szCs w:val="24"/>
                <w:highlight w:val="none"/>
              </w:rPr>
              <w:t>由</w:t>
            </w:r>
            <w:r>
              <w:rPr>
                <w:rFonts w:hint="eastAsia" w:ascii="宋体" w:hAnsi="宋体" w:eastAsia="宋体" w:cs="宋体"/>
                <w:color w:val="auto"/>
                <w:sz w:val="24"/>
                <w:szCs w:val="24"/>
                <w:highlight w:val="none"/>
                <w:lang w:eastAsia="zh-CN"/>
              </w:rPr>
              <w:t>磋商小组</w:t>
            </w:r>
            <w:r>
              <w:rPr>
                <w:rFonts w:hint="eastAsia" w:ascii="宋体" w:hAnsi="宋体" w:eastAsia="宋体" w:cs="宋体"/>
                <w:color w:val="auto"/>
                <w:sz w:val="24"/>
                <w:szCs w:val="24"/>
                <w:highlight w:val="none"/>
              </w:rPr>
              <w:t>进行综合评审，最高得</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分。</w:t>
            </w:r>
          </w:p>
        </w:tc>
        <w:tc>
          <w:tcPr>
            <w:tcW w:w="488"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Cs/>
                <w:color w:val="auto"/>
                <w:sz w:val="24"/>
                <w:szCs w:val="24"/>
                <w:highlight w:val="no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581"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p>
        </w:tc>
        <w:tc>
          <w:tcPr>
            <w:tcW w:w="1213"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bCs/>
                <w:color w:val="auto"/>
                <w:kern w:val="0"/>
                <w:sz w:val="24"/>
                <w:szCs w:val="24"/>
                <w:highlight w:val="none"/>
              </w:rPr>
            </w:pPr>
            <w:r>
              <w:rPr>
                <w:rFonts w:hint="eastAsia" w:ascii="宋体" w:hAnsi="宋体" w:eastAsia="宋体" w:cs="宋体"/>
                <w:sz w:val="24"/>
                <w:szCs w:val="24"/>
                <w:highlight w:val="none"/>
              </w:rPr>
              <w:t>预防性管理方案</w:t>
            </w:r>
          </w:p>
        </w:tc>
        <w:tc>
          <w:tcPr>
            <w:tcW w:w="6240"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bidi w:val="0"/>
              <w:spacing w:line="240" w:lineRule="auto"/>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根据</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提出的</w:t>
            </w:r>
            <w:r>
              <w:rPr>
                <w:rFonts w:hint="eastAsia" w:ascii="宋体" w:hAnsi="宋体" w:eastAsia="宋体" w:cs="宋体"/>
                <w:sz w:val="24"/>
                <w:szCs w:val="24"/>
                <w:highlight w:val="none"/>
              </w:rPr>
              <w:t>预防性管理方案</w:t>
            </w:r>
            <w:r>
              <w:rPr>
                <w:rFonts w:hint="eastAsia" w:ascii="宋体" w:hAnsi="宋体" w:eastAsia="宋体" w:cs="宋体"/>
                <w:color w:val="auto"/>
                <w:kern w:val="0"/>
                <w:sz w:val="24"/>
                <w:szCs w:val="24"/>
                <w:highlight w:val="none"/>
              </w:rPr>
              <w:t>的针对性、合理性、全面性、可行性及满足</w:t>
            </w:r>
            <w:r>
              <w:rPr>
                <w:rFonts w:hint="eastAsia" w:ascii="宋体" w:hAnsi="宋体" w:eastAsia="宋体" w:cs="宋体"/>
                <w:color w:val="auto"/>
                <w:kern w:val="0"/>
                <w:sz w:val="24"/>
                <w:szCs w:val="24"/>
                <w:highlight w:val="none"/>
                <w:lang w:eastAsia="zh-CN"/>
              </w:rPr>
              <w:t>竞争性磋商文件</w:t>
            </w:r>
            <w:r>
              <w:rPr>
                <w:rFonts w:hint="eastAsia" w:ascii="宋体" w:hAnsi="宋体" w:eastAsia="宋体" w:cs="宋体"/>
                <w:color w:val="auto"/>
                <w:kern w:val="0"/>
                <w:sz w:val="24"/>
                <w:szCs w:val="24"/>
                <w:highlight w:val="none"/>
              </w:rPr>
              <w:t>要求的程度等方面，</w:t>
            </w:r>
            <w:r>
              <w:rPr>
                <w:rFonts w:hint="eastAsia" w:ascii="宋体" w:hAnsi="宋体" w:eastAsia="宋体" w:cs="宋体"/>
                <w:color w:val="auto"/>
                <w:sz w:val="24"/>
                <w:szCs w:val="24"/>
                <w:highlight w:val="none"/>
              </w:rPr>
              <w:t>由</w:t>
            </w:r>
            <w:r>
              <w:rPr>
                <w:rFonts w:hint="eastAsia" w:ascii="宋体" w:hAnsi="宋体" w:eastAsia="宋体" w:cs="宋体"/>
                <w:color w:val="auto"/>
                <w:sz w:val="24"/>
                <w:szCs w:val="24"/>
                <w:highlight w:val="none"/>
                <w:lang w:eastAsia="zh-CN"/>
              </w:rPr>
              <w:t>磋商小组</w:t>
            </w:r>
            <w:r>
              <w:rPr>
                <w:rFonts w:hint="eastAsia" w:ascii="宋体" w:hAnsi="宋体" w:eastAsia="宋体" w:cs="宋体"/>
                <w:color w:val="auto"/>
                <w:sz w:val="24"/>
                <w:szCs w:val="24"/>
                <w:highlight w:val="none"/>
              </w:rPr>
              <w:t>进行综合评审，最高得</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分。</w:t>
            </w:r>
          </w:p>
        </w:tc>
        <w:tc>
          <w:tcPr>
            <w:tcW w:w="488"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581"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p>
        </w:tc>
        <w:tc>
          <w:tcPr>
            <w:tcW w:w="1213"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sz w:val="24"/>
                <w:szCs w:val="24"/>
                <w:highlight w:val="none"/>
              </w:rPr>
            </w:pPr>
            <w:r>
              <w:rPr>
                <w:rFonts w:hint="eastAsia" w:ascii="宋体" w:hAnsi="宋体" w:eastAsia="宋体" w:cs="宋体"/>
                <w:bCs/>
                <w:color w:val="auto"/>
                <w:kern w:val="0"/>
                <w:sz w:val="24"/>
                <w:szCs w:val="24"/>
                <w:highlight w:val="none"/>
              </w:rPr>
              <w:t>服务承诺</w:t>
            </w:r>
          </w:p>
        </w:tc>
        <w:tc>
          <w:tcPr>
            <w:tcW w:w="6240"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根据</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sz w:val="24"/>
                <w:szCs w:val="24"/>
                <w:highlight w:val="none"/>
              </w:rPr>
              <w:t>针对本项目提供</w:t>
            </w:r>
            <w:r>
              <w:rPr>
                <w:rFonts w:hint="eastAsia" w:ascii="宋体" w:hAnsi="宋体" w:eastAsia="宋体" w:cs="宋体"/>
                <w:color w:val="auto"/>
                <w:sz w:val="24"/>
                <w:szCs w:val="24"/>
                <w:highlight w:val="none"/>
                <w:lang w:eastAsia="zh-CN"/>
              </w:rPr>
              <w:t>的</w:t>
            </w:r>
            <w:r>
              <w:rPr>
                <w:rFonts w:hint="eastAsia" w:ascii="宋体" w:hAnsi="宋体" w:eastAsia="宋体" w:cs="宋体"/>
                <w:bCs/>
                <w:color w:val="auto"/>
                <w:kern w:val="0"/>
                <w:sz w:val="24"/>
                <w:szCs w:val="24"/>
                <w:highlight w:val="none"/>
              </w:rPr>
              <w:t>服务承诺</w:t>
            </w:r>
            <w:r>
              <w:rPr>
                <w:rFonts w:hint="eastAsia" w:ascii="宋体" w:hAnsi="宋体" w:eastAsia="宋体" w:cs="宋体"/>
                <w:color w:val="auto"/>
                <w:sz w:val="24"/>
                <w:szCs w:val="24"/>
                <w:highlight w:val="none"/>
              </w:rPr>
              <w:t>（如响应速度承诺、专业咨询等其他伴随性服务等）的响应程度、服务的</w:t>
            </w:r>
            <w:r>
              <w:rPr>
                <w:rFonts w:hint="eastAsia" w:ascii="宋体" w:hAnsi="宋体" w:eastAsia="宋体" w:cs="宋体"/>
                <w:color w:val="auto"/>
                <w:kern w:val="0"/>
                <w:sz w:val="24"/>
                <w:szCs w:val="24"/>
                <w:highlight w:val="none"/>
              </w:rPr>
              <w:t>合理性、全面性、可行性</w:t>
            </w:r>
            <w:r>
              <w:rPr>
                <w:rFonts w:hint="eastAsia" w:ascii="宋体" w:hAnsi="宋体" w:eastAsia="宋体" w:cs="宋体"/>
                <w:color w:val="auto"/>
                <w:sz w:val="24"/>
                <w:szCs w:val="24"/>
                <w:highlight w:val="none"/>
              </w:rPr>
              <w:t>等</w:t>
            </w:r>
            <w:r>
              <w:rPr>
                <w:rFonts w:hint="eastAsia" w:ascii="宋体" w:hAnsi="宋体" w:eastAsia="宋体" w:cs="宋体"/>
                <w:color w:val="auto"/>
                <w:kern w:val="0"/>
                <w:sz w:val="24"/>
                <w:szCs w:val="24"/>
                <w:highlight w:val="none"/>
              </w:rPr>
              <w:t>方面，</w:t>
            </w:r>
            <w:r>
              <w:rPr>
                <w:rFonts w:hint="eastAsia" w:ascii="宋体" w:hAnsi="宋体" w:eastAsia="宋体" w:cs="宋体"/>
                <w:color w:val="auto"/>
                <w:sz w:val="24"/>
                <w:szCs w:val="24"/>
                <w:highlight w:val="none"/>
              </w:rPr>
              <w:t>由</w:t>
            </w:r>
            <w:r>
              <w:rPr>
                <w:rFonts w:hint="eastAsia" w:ascii="宋体" w:hAnsi="宋体" w:eastAsia="宋体" w:cs="宋体"/>
                <w:color w:val="auto"/>
                <w:sz w:val="24"/>
                <w:szCs w:val="24"/>
                <w:highlight w:val="none"/>
                <w:lang w:eastAsia="zh-CN"/>
              </w:rPr>
              <w:t>磋商小组</w:t>
            </w:r>
            <w:r>
              <w:rPr>
                <w:rFonts w:hint="eastAsia" w:ascii="宋体" w:hAnsi="宋体" w:eastAsia="宋体" w:cs="宋体"/>
                <w:color w:val="auto"/>
                <w:sz w:val="24"/>
                <w:szCs w:val="24"/>
                <w:highlight w:val="none"/>
              </w:rPr>
              <w:t>进行综合评审，最高得</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分。</w:t>
            </w:r>
          </w:p>
        </w:tc>
        <w:tc>
          <w:tcPr>
            <w:tcW w:w="488"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581"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p>
        </w:tc>
        <w:tc>
          <w:tcPr>
            <w:tcW w:w="1213"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eastAsia="宋体" w:cs="宋体"/>
                <w:bCs/>
                <w:color w:val="000000"/>
                <w:kern w:val="0"/>
                <w:sz w:val="24"/>
                <w:szCs w:val="24"/>
                <w:highlight w:val="none"/>
                <w:lang w:val="en-US" w:eastAsia="zh-CN" w:bidi="ar-SA"/>
              </w:rPr>
            </w:pPr>
            <w:r>
              <w:rPr>
                <w:rFonts w:hint="eastAsia" w:ascii="宋体" w:hAnsi="宋体" w:eastAsia="宋体" w:cs="宋体"/>
                <w:sz w:val="24"/>
                <w:szCs w:val="24"/>
                <w:highlight w:val="none"/>
              </w:rPr>
              <w:t>交接期的实施方案</w:t>
            </w:r>
          </w:p>
        </w:tc>
        <w:tc>
          <w:tcPr>
            <w:tcW w:w="6240" w:type="dxa"/>
            <w:noWrap w:val="0"/>
            <w:tcMar>
              <w:top w:w="0" w:type="dxa"/>
              <w:left w:w="108" w:type="dxa"/>
              <w:bottom w:w="0" w:type="dxa"/>
              <w:right w:w="108" w:type="dxa"/>
            </w:tcMar>
            <w:vAlign w:val="center"/>
          </w:tcPr>
          <w:p>
            <w:pPr>
              <w:keepNext w:val="0"/>
              <w:keepLines w:val="0"/>
              <w:pageBreakBefore w:val="0"/>
              <w:widowControl w:val="0"/>
              <w:kinsoku/>
              <w:wordWrap/>
              <w:overflowPunct/>
              <w:topLinePunct w:val="0"/>
              <w:bidi w:val="0"/>
              <w:spacing w:line="240" w:lineRule="auto"/>
              <w:textAlignment w:val="auto"/>
              <w:rPr>
                <w:rFonts w:hint="eastAsia" w:ascii="宋体" w:hAnsi="宋体" w:eastAsia="宋体" w:cs="宋体"/>
                <w:bCs/>
                <w:color w:val="000000"/>
                <w:kern w:val="0"/>
                <w:sz w:val="24"/>
                <w:szCs w:val="24"/>
                <w:highlight w:val="none"/>
                <w:lang w:val="zh-Hans" w:eastAsia="zh-CN" w:bidi="ar-SA"/>
              </w:rPr>
            </w:pPr>
            <w:r>
              <w:rPr>
                <w:rFonts w:hint="eastAsia" w:ascii="宋体" w:hAnsi="宋体" w:eastAsia="宋体" w:cs="宋体"/>
                <w:color w:val="auto"/>
                <w:kern w:val="0"/>
                <w:sz w:val="24"/>
                <w:szCs w:val="24"/>
                <w:highlight w:val="none"/>
              </w:rPr>
              <w:t>根据</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提出的</w:t>
            </w:r>
            <w:r>
              <w:rPr>
                <w:rFonts w:hint="eastAsia" w:ascii="宋体" w:hAnsi="宋体" w:eastAsia="宋体" w:cs="宋体"/>
                <w:sz w:val="24"/>
                <w:szCs w:val="24"/>
                <w:highlight w:val="none"/>
              </w:rPr>
              <w:t>交接期的实施方案</w:t>
            </w:r>
            <w:r>
              <w:rPr>
                <w:rFonts w:hint="eastAsia" w:ascii="宋体" w:hAnsi="宋体" w:eastAsia="宋体" w:cs="宋体"/>
                <w:color w:val="auto"/>
                <w:kern w:val="0"/>
                <w:sz w:val="24"/>
                <w:szCs w:val="24"/>
                <w:highlight w:val="none"/>
              </w:rPr>
              <w:t>的针对性、合理性、全面性、可行性及满足</w:t>
            </w:r>
            <w:r>
              <w:rPr>
                <w:rFonts w:hint="eastAsia" w:ascii="宋体" w:hAnsi="宋体" w:eastAsia="宋体" w:cs="宋体"/>
                <w:color w:val="auto"/>
                <w:kern w:val="0"/>
                <w:sz w:val="24"/>
                <w:szCs w:val="24"/>
                <w:highlight w:val="none"/>
                <w:lang w:eastAsia="zh-CN"/>
              </w:rPr>
              <w:t>竞争性磋商文件</w:t>
            </w:r>
            <w:r>
              <w:rPr>
                <w:rFonts w:hint="eastAsia" w:ascii="宋体" w:hAnsi="宋体" w:eastAsia="宋体" w:cs="宋体"/>
                <w:color w:val="auto"/>
                <w:kern w:val="0"/>
                <w:sz w:val="24"/>
                <w:szCs w:val="24"/>
                <w:highlight w:val="none"/>
              </w:rPr>
              <w:t>要求的程度等方面，</w:t>
            </w:r>
            <w:r>
              <w:rPr>
                <w:rFonts w:hint="eastAsia" w:ascii="宋体" w:hAnsi="宋体" w:eastAsia="宋体" w:cs="宋体"/>
                <w:color w:val="auto"/>
                <w:sz w:val="24"/>
                <w:szCs w:val="24"/>
                <w:highlight w:val="none"/>
              </w:rPr>
              <w:t>由</w:t>
            </w:r>
            <w:r>
              <w:rPr>
                <w:rFonts w:hint="eastAsia" w:ascii="宋体" w:hAnsi="宋体" w:eastAsia="宋体" w:cs="宋体"/>
                <w:color w:val="auto"/>
                <w:sz w:val="24"/>
                <w:szCs w:val="24"/>
                <w:highlight w:val="none"/>
                <w:lang w:eastAsia="zh-CN"/>
              </w:rPr>
              <w:t>磋商小组</w:t>
            </w:r>
            <w:r>
              <w:rPr>
                <w:rFonts w:hint="eastAsia" w:ascii="宋体" w:hAnsi="宋体" w:eastAsia="宋体" w:cs="宋体"/>
                <w:color w:val="auto"/>
                <w:sz w:val="24"/>
                <w:szCs w:val="24"/>
                <w:highlight w:val="none"/>
              </w:rPr>
              <w:t>进行综合评审，最高得</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分。</w:t>
            </w:r>
          </w:p>
        </w:tc>
        <w:tc>
          <w:tcPr>
            <w:tcW w:w="488"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Cs/>
                <w:color w:val="auto"/>
                <w:sz w:val="24"/>
                <w:szCs w:val="24"/>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581"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w:t>
            </w:r>
          </w:p>
        </w:tc>
        <w:tc>
          <w:tcPr>
            <w:tcW w:w="1213"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bCs/>
                <w:color w:val="auto"/>
                <w:kern w:val="0"/>
                <w:sz w:val="24"/>
                <w:szCs w:val="24"/>
                <w:highlight w:val="none"/>
              </w:rPr>
            </w:pPr>
            <w:r>
              <w:rPr>
                <w:rFonts w:hint="eastAsia" w:ascii="宋体" w:hAnsi="宋体" w:eastAsia="宋体" w:cs="宋体"/>
                <w:sz w:val="24"/>
                <w:szCs w:val="24"/>
                <w:highlight w:val="none"/>
              </w:rPr>
              <w:t>培训方案</w:t>
            </w:r>
          </w:p>
        </w:tc>
        <w:tc>
          <w:tcPr>
            <w:tcW w:w="6240"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textAlignment w:val="auto"/>
              <w:rPr>
                <w:rFonts w:hint="eastAsia" w:ascii="宋体" w:hAnsi="宋体" w:eastAsia="宋体" w:cs="宋体"/>
                <w:color w:val="auto"/>
                <w:sz w:val="24"/>
                <w:szCs w:val="24"/>
                <w:highlight w:val="none"/>
              </w:rPr>
            </w:pPr>
            <w:r>
              <w:rPr>
                <w:rFonts w:hint="eastAsia" w:ascii="宋体" w:hAnsi="宋体" w:eastAsia="宋体" w:cs="宋体"/>
                <w:sz w:val="24"/>
                <w:szCs w:val="24"/>
                <w:highlight w:val="none"/>
              </w:rPr>
              <w:t>根据供应商针对本项目提供</w:t>
            </w:r>
            <w:r>
              <w:rPr>
                <w:rFonts w:hint="eastAsia" w:ascii="宋体" w:hAnsi="宋体" w:eastAsia="宋体" w:cs="宋体"/>
                <w:sz w:val="24"/>
                <w:szCs w:val="24"/>
                <w:highlight w:val="none"/>
                <w:lang w:val="en-US" w:eastAsia="zh-CN"/>
              </w:rPr>
              <w:t>培训</w:t>
            </w:r>
            <w:r>
              <w:rPr>
                <w:rFonts w:hint="eastAsia" w:ascii="宋体" w:hAnsi="宋体" w:eastAsia="宋体" w:cs="宋体"/>
                <w:sz w:val="24"/>
                <w:szCs w:val="24"/>
                <w:highlight w:val="none"/>
              </w:rPr>
              <w:t>方案的响应程度、服务的全面性等</w:t>
            </w:r>
            <w:r>
              <w:rPr>
                <w:rFonts w:hint="eastAsia" w:ascii="宋体" w:hAnsi="宋体" w:eastAsia="宋体" w:cs="宋体"/>
                <w:bCs/>
                <w:kern w:val="0"/>
                <w:sz w:val="24"/>
                <w:szCs w:val="24"/>
                <w:highlight w:val="none"/>
              </w:rPr>
              <w:t>情况</w:t>
            </w:r>
            <w:r>
              <w:rPr>
                <w:rFonts w:hint="eastAsia" w:ascii="宋体" w:hAnsi="宋体" w:eastAsia="宋体" w:cs="宋体"/>
                <w:sz w:val="24"/>
                <w:szCs w:val="24"/>
                <w:highlight w:val="none"/>
              </w:rPr>
              <w:t>，由磋商小组进行综合</w:t>
            </w:r>
            <w:r>
              <w:rPr>
                <w:rFonts w:hint="eastAsia" w:ascii="宋体" w:hAnsi="宋体" w:eastAsia="宋体" w:cs="宋体"/>
                <w:color w:val="auto"/>
                <w:sz w:val="24"/>
                <w:szCs w:val="24"/>
                <w:highlight w:val="none"/>
              </w:rPr>
              <w:t>评审</w:t>
            </w:r>
            <w:r>
              <w:rPr>
                <w:rFonts w:hint="eastAsia" w:ascii="宋体" w:hAnsi="宋体" w:eastAsia="宋体" w:cs="宋体"/>
                <w:sz w:val="24"/>
                <w:szCs w:val="24"/>
                <w:highlight w:val="none"/>
              </w:rPr>
              <w:t>，最高得</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分。</w:t>
            </w:r>
          </w:p>
        </w:tc>
        <w:tc>
          <w:tcPr>
            <w:tcW w:w="488"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rPr>
        <w:tc>
          <w:tcPr>
            <w:tcW w:w="581" w:type="dxa"/>
            <w:noWrap w:val="0"/>
            <w:tcMar>
              <w:top w:w="0" w:type="dxa"/>
              <w:left w:w="108" w:type="dxa"/>
              <w:bottom w:w="0" w:type="dxa"/>
              <w:right w:w="108" w:type="dxa"/>
            </w:tcMar>
            <w:vAlign w:val="center"/>
          </w:tcPr>
          <w:p>
            <w:pPr>
              <w:keepNext w:val="0"/>
              <w:keepLines w:val="0"/>
              <w:pageBreakBefore w:val="0"/>
              <w:widowControl w:val="0"/>
              <w:tabs>
                <w:tab w:val="left" w:pos="426"/>
              </w:tabs>
              <w:kinsoku/>
              <w:wordWrap/>
              <w:overflowPunct/>
              <w:topLinePunct w:val="0"/>
              <w:autoSpaceDE w:val="0"/>
              <w:autoSpaceDN w:val="0"/>
              <w:bidi w:val="0"/>
              <w:adjustRightInd w:val="0"/>
              <w:spacing w:line="240" w:lineRule="auto"/>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w:t>
            </w:r>
          </w:p>
        </w:tc>
        <w:tc>
          <w:tcPr>
            <w:tcW w:w="1213"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应急响应</w:t>
            </w:r>
          </w:p>
        </w:tc>
        <w:tc>
          <w:tcPr>
            <w:tcW w:w="6240"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供应商</w:t>
            </w:r>
            <w:r>
              <w:rPr>
                <w:rFonts w:hint="eastAsia" w:ascii="宋体" w:hAnsi="宋体" w:eastAsia="宋体" w:cs="宋体"/>
                <w:sz w:val="24"/>
                <w:szCs w:val="24"/>
                <w:highlight w:val="none"/>
              </w:rPr>
              <w:t>承诺</w:t>
            </w:r>
            <w:r>
              <w:rPr>
                <w:rFonts w:hint="eastAsia" w:ascii="宋体" w:hAnsi="宋体" w:eastAsia="宋体" w:cs="宋体"/>
                <w:sz w:val="24"/>
                <w:szCs w:val="24"/>
                <w:highlight w:val="none"/>
                <w:lang w:val="en-US" w:eastAsia="zh-CN"/>
              </w:rPr>
              <w:t>若</w:t>
            </w:r>
            <w:r>
              <w:rPr>
                <w:rFonts w:hint="eastAsia" w:ascii="宋体" w:hAnsi="宋体" w:eastAsia="宋体" w:cs="宋体"/>
                <w:sz w:val="24"/>
                <w:szCs w:val="24"/>
                <w:highlight w:val="none"/>
              </w:rPr>
              <w:t>遇紧急情况，</w:t>
            </w:r>
            <w:r>
              <w:rPr>
                <w:rFonts w:hint="eastAsia" w:ascii="宋体" w:hAnsi="宋体" w:eastAsia="宋体" w:cs="宋体"/>
                <w:sz w:val="24"/>
                <w:szCs w:val="24"/>
                <w:highlight w:val="none"/>
                <w:lang w:val="en-US" w:eastAsia="zh-CN"/>
              </w:rPr>
              <w:t>采购人</w:t>
            </w:r>
            <w:r>
              <w:rPr>
                <w:rFonts w:hint="eastAsia" w:ascii="宋体" w:hAnsi="宋体" w:eastAsia="宋体" w:cs="宋体"/>
                <w:sz w:val="24"/>
                <w:szCs w:val="24"/>
                <w:highlight w:val="none"/>
              </w:rPr>
              <w:t>通知到现场维修，2小时内到场的</w:t>
            </w:r>
            <w:r>
              <w:rPr>
                <w:rFonts w:hint="eastAsia" w:ascii="宋体" w:hAnsi="宋体" w:eastAsia="宋体" w:cs="宋体"/>
                <w:sz w:val="24"/>
                <w:szCs w:val="24"/>
                <w:highlight w:val="none"/>
                <w:lang w:val="en-US" w:eastAsia="zh-CN"/>
              </w:rPr>
              <w:t>得2</w:t>
            </w:r>
            <w:r>
              <w:rPr>
                <w:rFonts w:hint="eastAsia" w:ascii="宋体" w:hAnsi="宋体" w:eastAsia="宋体" w:cs="宋体"/>
                <w:sz w:val="24"/>
                <w:szCs w:val="24"/>
                <w:highlight w:val="none"/>
              </w:rPr>
              <w:t>分</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1小时内到场的</w:t>
            </w:r>
            <w:r>
              <w:rPr>
                <w:rFonts w:hint="eastAsia" w:ascii="宋体" w:hAnsi="宋体" w:eastAsia="宋体" w:cs="宋体"/>
                <w:sz w:val="24"/>
                <w:szCs w:val="24"/>
                <w:highlight w:val="none"/>
                <w:lang w:val="en-US" w:eastAsia="zh-CN"/>
              </w:rPr>
              <w:t>得5</w:t>
            </w:r>
            <w:r>
              <w:rPr>
                <w:rFonts w:hint="eastAsia" w:ascii="宋体" w:hAnsi="宋体" w:eastAsia="宋体" w:cs="宋体"/>
                <w:sz w:val="24"/>
                <w:szCs w:val="24"/>
                <w:highlight w:val="none"/>
              </w:rPr>
              <w:t>分。</w:t>
            </w:r>
            <w:r>
              <w:rPr>
                <w:rFonts w:hint="eastAsia" w:ascii="宋体" w:hAnsi="宋体" w:eastAsia="宋体" w:cs="宋体"/>
                <w:sz w:val="24"/>
                <w:szCs w:val="24"/>
                <w:highlight w:val="none"/>
                <w:lang w:val="en-US" w:eastAsia="zh-CN"/>
              </w:rPr>
              <w:t>若采购人</w:t>
            </w:r>
            <w:r>
              <w:rPr>
                <w:rFonts w:hint="eastAsia" w:ascii="宋体" w:hAnsi="宋体" w:eastAsia="宋体" w:cs="宋体"/>
                <w:sz w:val="24"/>
                <w:szCs w:val="24"/>
                <w:highlight w:val="none"/>
              </w:rPr>
              <w:t>通知</w:t>
            </w:r>
            <w:r>
              <w:rPr>
                <w:rFonts w:hint="eastAsia" w:ascii="宋体" w:hAnsi="宋体" w:eastAsia="宋体" w:cs="宋体"/>
                <w:sz w:val="24"/>
                <w:szCs w:val="24"/>
                <w:highlight w:val="none"/>
                <w:lang w:val="en-US" w:eastAsia="zh-CN"/>
              </w:rPr>
              <w:t>后供应商未响应</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采购人</w:t>
            </w:r>
            <w:r>
              <w:rPr>
                <w:rFonts w:hint="eastAsia" w:ascii="宋体" w:hAnsi="宋体" w:eastAsia="宋体" w:cs="宋体"/>
                <w:sz w:val="24"/>
                <w:szCs w:val="24"/>
                <w:highlight w:val="none"/>
              </w:rPr>
              <w:t>有权中止合同。</w:t>
            </w:r>
          </w:p>
          <w:p>
            <w:pPr>
              <w:pStyle w:val="5"/>
              <w:keepNext w:val="0"/>
              <w:keepLines w:val="0"/>
              <w:pageBreakBefore w:val="0"/>
              <w:widowControl w:val="0"/>
              <w:kinsoku/>
              <w:wordWrap/>
              <w:overflowPunct/>
              <w:topLinePunct w:val="0"/>
              <w:bidi w:val="0"/>
              <w:spacing w:line="240" w:lineRule="auto"/>
              <w:textAlignment w:val="auto"/>
              <w:rPr>
                <w:rFonts w:hint="eastAsia" w:ascii="宋体" w:hAnsi="宋体" w:eastAsia="宋体" w:cs="宋体"/>
                <w:sz w:val="24"/>
                <w:szCs w:val="24"/>
                <w:highlight w:val="none"/>
              </w:rPr>
            </w:pPr>
            <w:r>
              <w:rPr>
                <w:rFonts w:hint="eastAsia" w:ascii="宋体" w:hAnsi="宋体" w:eastAsia="宋体" w:cs="宋体"/>
                <w:b/>
                <w:bCs/>
                <w:color w:val="auto"/>
                <w:sz w:val="24"/>
                <w:szCs w:val="24"/>
                <w:highlight w:val="none"/>
              </w:rPr>
              <w:t>注：</w:t>
            </w:r>
            <w:r>
              <w:rPr>
                <w:rFonts w:hint="eastAsia" w:ascii="宋体" w:hAnsi="宋体" w:eastAsia="宋体" w:cs="宋体"/>
                <w:b/>
                <w:bCs/>
                <w:kern w:val="0"/>
                <w:sz w:val="24"/>
                <w:szCs w:val="24"/>
                <w:highlight w:val="none"/>
              </w:rPr>
              <w:t>磋商响应文件</w:t>
            </w:r>
            <w:r>
              <w:rPr>
                <w:rFonts w:hint="eastAsia" w:ascii="宋体" w:hAnsi="宋体" w:eastAsia="宋体" w:cs="宋体"/>
                <w:b/>
                <w:bCs/>
                <w:color w:val="auto"/>
                <w:kern w:val="0"/>
                <w:sz w:val="24"/>
                <w:szCs w:val="24"/>
                <w:highlight w:val="none"/>
              </w:rPr>
              <w:t>中提供</w:t>
            </w:r>
            <w:r>
              <w:rPr>
                <w:rFonts w:hint="eastAsia" w:ascii="宋体" w:hAnsi="宋体" w:eastAsia="宋体" w:cs="宋体"/>
                <w:b/>
                <w:bCs/>
                <w:color w:val="auto"/>
                <w:kern w:val="0"/>
                <w:sz w:val="24"/>
                <w:szCs w:val="24"/>
                <w:highlight w:val="none"/>
                <w:lang w:val="en-US" w:eastAsia="zh-CN"/>
              </w:rPr>
              <w:t>承诺书原件</w:t>
            </w:r>
            <w:r>
              <w:rPr>
                <w:rFonts w:hint="eastAsia" w:ascii="宋体" w:hAnsi="宋体" w:eastAsia="宋体" w:cs="宋体"/>
                <w:b/>
                <w:bCs/>
                <w:color w:val="auto"/>
                <w:sz w:val="24"/>
                <w:szCs w:val="24"/>
                <w:highlight w:val="none"/>
                <w:lang w:val="en-US" w:eastAsia="zh-CN"/>
              </w:rPr>
              <w:t>并</w:t>
            </w:r>
            <w:r>
              <w:rPr>
                <w:rFonts w:hint="eastAsia" w:ascii="宋体" w:hAnsi="宋体" w:eastAsia="宋体" w:cs="宋体"/>
                <w:b/>
                <w:bCs/>
                <w:color w:val="auto"/>
                <w:sz w:val="24"/>
                <w:szCs w:val="24"/>
                <w:highlight w:val="none"/>
              </w:rPr>
              <w:t>加盖</w:t>
            </w:r>
            <w:r>
              <w:rPr>
                <w:rFonts w:hint="eastAsia" w:ascii="宋体" w:hAnsi="宋体" w:eastAsia="宋体" w:cs="宋体"/>
                <w:b/>
                <w:bCs/>
                <w:color w:val="auto"/>
                <w:sz w:val="24"/>
                <w:szCs w:val="24"/>
                <w:highlight w:val="none"/>
                <w:lang w:val="en-US" w:eastAsia="zh-CN"/>
              </w:rPr>
              <w:t>供应商</w:t>
            </w:r>
            <w:r>
              <w:rPr>
                <w:rFonts w:hint="eastAsia" w:ascii="宋体" w:hAnsi="宋体" w:eastAsia="宋体" w:cs="宋体"/>
                <w:b/>
                <w:bCs/>
                <w:color w:val="auto"/>
                <w:sz w:val="24"/>
                <w:szCs w:val="24"/>
                <w:highlight w:val="none"/>
              </w:rPr>
              <w:t>公章</w:t>
            </w:r>
            <w:r>
              <w:rPr>
                <w:rFonts w:hint="eastAsia" w:ascii="宋体" w:hAnsi="宋体" w:eastAsia="宋体" w:cs="宋体"/>
                <w:b/>
                <w:bCs/>
                <w:color w:val="auto"/>
                <w:kern w:val="0"/>
                <w:sz w:val="24"/>
                <w:szCs w:val="24"/>
                <w:highlight w:val="none"/>
              </w:rPr>
              <w:t>，否则不得分。</w:t>
            </w:r>
          </w:p>
        </w:tc>
        <w:tc>
          <w:tcPr>
            <w:tcW w:w="488" w:type="dxa"/>
            <w:noWrap w:val="0"/>
            <w:tcMar>
              <w:top w:w="0" w:type="dxa"/>
              <w:left w:w="108" w:type="dxa"/>
              <w:bottom w:w="0" w:type="dxa"/>
              <w:right w:w="108" w:type="dxa"/>
            </w:tcMar>
            <w:vAlign w:val="center"/>
          </w:tcPr>
          <w:p>
            <w:pPr>
              <w:pStyle w:val="5"/>
              <w:keepNext w:val="0"/>
              <w:keepLines w:val="0"/>
              <w:pageBreakBefore w:val="0"/>
              <w:widowControl w:val="0"/>
              <w:kinsoku/>
              <w:wordWrap/>
              <w:overflowPunct/>
              <w:topLinePunct w:val="0"/>
              <w:bidi w:val="0"/>
              <w:spacing w:line="240" w:lineRule="auto"/>
              <w:jc w:val="center"/>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5</w:t>
            </w:r>
          </w:p>
        </w:tc>
      </w:tr>
    </w:tbl>
    <w:p>
      <w:pPr>
        <w:keepNext w:val="0"/>
        <w:keepLines w:val="0"/>
        <w:pageBreakBefore w:val="0"/>
        <w:widowControl w:val="0"/>
        <w:kinsoku/>
        <w:wordWrap/>
        <w:overflowPunct/>
        <w:topLinePunct w:val="0"/>
        <w:autoSpaceDE/>
        <w:autoSpaceDN/>
        <w:bidi w:val="0"/>
        <w:adjustRightInd/>
        <w:spacing w:line="360" w:lineRule="auto"/>
        <w:ind w:firstLine="480" w:firstLineChars="200"/>
        <w:contextualSpacing/>
        <w:textAlignment w:val="auto"/>
        <w:rPr>
          <w:rFonts w:hint="eastAsia" w:ascii="宋体" w:hAnsi="宋体" w:eastAsia="宋体" w:cs="宋体"/>
          <w:bCs/>
          <w:sz w:val="24"/>
          <w:szCs w:val="24"/>
        </w:rPr>
      </w:pPr>
      <w:r>
        <w:rPr>
          <w:rFonts w:hint="eastAsia" w:ascii="宋体" w:hAnsi="宋体" w:eastAsia="宋体" w:cs="宋体"/>
          <w:bCs/>
          <w:sz w:val="24"/>
          <w:szCs w:val="24"/>
        </w:rPr>
        <w:t xml:space="preserve">注： </w:t>
      </w:r>
    </w:p>
    <w:p>
      <w:pPr>
        <w:keepNext w:val="0"/>
        <w:keepLines w:val="0"/>
        <w:pageBreakBefore w:val="0"/>
        <w:widowControl w:val="0"/>
        <w:kinsoku/>
        <w:wordWrap/>
        <w:overflowPunct/>
        <w:topLinePunct w:val="0"/>
        <w:autoSpaceDE/>
        <w:autoSpaceDN/>
        <w:bidi w:val="0"/>
        <w:adjustRightInd/>
        <w:spacing w:line="360" w:lineRule="auto"/>
        <w:ind w:firstLine="480" w:firstLineChars="200"/>
        <w:contextualSpacing/>
        <w:textAlignment w:val="auto"/>
        <w:rPr>
          <w:rFonts w:hint="eastAsia" w:ascii="宋体" w:hAnsi="宋体" w:eastAsia="宋体" w:cs="宋体"/>
          <w:bCs/>
          <w:sz w:val="24"/>
          <w:szCs w:val="24"/>
        </w:rPr>
      </w:pPr>
      <w:r>
        <w:rPr>
          <w:rFonts w:hint="eastAsia" w:ascii="宋体" w:hAnsi="宋体" w:eastAsia="宋体" w:cs="宋体"/>
          <w:bCs/>
          <w:sz w:val="24"/>
          <w:szCs w:val="24"/>
        </w:rPr>
        <w:t>1.评分细则中要求提供的证明文件及资料等在磋商响应文件中提供并加盖公章，否则不得分。</w:t>
      </w:r>
    </w:p>
    <w:p>
      <w:pPr>
        <w:keepNext w:val="0"/>
        <w:keepLines w:val="0"/>
        <w:pageBreakBefore w:val="0"/>
        <w:widowControl w:val="0"/>
        <w:kinsoku/>
        <w:wordWrap/>
        <w:overflowPunct/>
        <w:topLinePunct w:val="0"/>
        <w:autoSpaceDE/>
        <w:autoSpaceDN/>
        <w:bidi w:val="0"/>
        <w:adjustRightInd/>
        <w:spacing w:line="360" w:lineRule="auto"/>
        <w:ind w:firstLine="480" w:firstLineChars="200"/>
        <w:contextualSpacing/>
        <w:textAlignment w:val="auto"/>
        <w:rPr>
          <w:rFonts w:hint="eastAsia" w:ascii="宋体" w:hAnsi="宋体" w:eastAsia="宋体" w:cs="宋体"/>
          <w:bCs/>
          <w:sz w:val="24"/>
          <w:szCs w:val="24"/>
        </w:rPr>
      </w:pPr>
      <w:r>
        <w:rPr>
          <w:rFonts w:hint="eastAsia" w:ascii="宋体" w:hAnsi="宋体" w:eastAsia="宋体" w:cs="宋体"/>
          <w:bCs/>
          <w:sz w:val="24"/>
          <w:szCs w:val="24"/>
        </w:rPr>
        <w:t>2.评审时，未能按以上要求提供相应证明的，不作为评审依据，不得分。</w:t>
      </w:r>
    </w:p>
    <w:p>
      <w:pPr>
        <w:keepNext w:val="0"/>
        <w:keepLines w:val="0"/>
        <w:pageBreakBefore w:val="0"/>
        <w:widowControl w:val="0"/>
        <w:kinsoku/>
        <w:wordWrap/>
        <w:overflowPunct/>
        <w:topLinePunct w:val="0"/>
        <w:autoSpaceDE/>
        <w:autoSpaceDN/>
        <w:bidi w:val="0"/>
        <w:adjustRightInd/>
        <w:spacing w:line="360" w:lineRule="auto"/>
        <w:ind w:firstLine="480" w:firstLineChars="200"/>
        <w:contextualSpacing/>
        <w:textAlignment w:val="auto"/>
        <w:rPr>
          <w:rFonts w:hint="eastAsia" w:ascii="宋体" w:hAnsi="宋体" w:eastAsia="宋体" w:cs="宋体"/>
          <w:bCs/>
          <w:sz w:val="24"/>
          <w:szCs w:val="24"/>
        </w:rPr>
      </w:pPr>
      <w:r>
        <w:rPr>
          <w:rFonts w:hint="eastAsia" w:ascii="宋体" w:hAnsi="宋体" w:eastAsia="宋体" w:cs="宋体"/>
          <w:bCs/>
          <w:sz w:val="24"/>
          <w:szCs w:val="24"/>
        </w:rPr>
        <w:t>3.为便于评分，请供应商按评分表样式，逐条列出证明材料所在页码，格式自定。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8B2E19"/>
    <w:rsid w:val="518B2E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Document Map"/>
    <w:basedOn w:val="1"/>
    <w:next w:val="1"/>
    <w:qFormat/>
    <w:uiPriority w:val="0"/>
    <w:pPr>
      <w:shd w:val="clear" w:color="auto" w:fill="000080"/>
    </w:pPr>
  </w:style>
  <w:style w:type="paragraph" w:customStyle="1" w:styleId="5">
    <w:name w:val="正文 A"/>
    <w:qFormat/>
    <w:uiPriority w:val="0"/>
    <w:pPr>
      <w:widowControl w:val="0"/>
      <w:jc w:val="both"/>
    </w:pPr>
    <w:rPr>
      <w:rFonts w:ascii="Times New Roman" w:hAnsi="Times New Roman" w:eastAsia="Times New Roman" w:cs="Times New Roman"/>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2022-06-14T02:31:00Z</dcterms:created>
  <dc:creator>嵇玲</dc:creator>
  <cp:lastModifiedBy>嵇玲</cp:lastModifiedBy>
  <dcterms:modified xsi:type="dcterms:W3CDTF">2022-06-14T02:31:48Z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2052-11.8.2.8576</vt:lpwstr>
  </property>
</Properties>
</file>